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44" w:rsidRPr="00074B44" w:rsidRDefault="00074B44" w:rsidP="00074B44">
      <w:pPr>
        <w:jc w:val="center"/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Тиімді</w:t>
      </w:r>
      <w:proofErr w:type="spellEnd"/>
      <w:r w:rsidRPr="00074B4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қарым-қатынастың</w:t>
      </w:r>
      <w:proofErr w:type="spellEnd"/>
      <w:r w:rsidRPr="00074B4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 xml:space="preserve"> 10 </w:t>
      </w:r>
      <w:proofErr w:type="spellStart"/>
      <w:r w:rsidRPr="00074B44">
        <w:rPr>
          <w:rFonts w:ascii="Times New Roman" w:hAnsi="Times New Roman" w:cs="Times New Roman"/>
          <w:b/>
          <w:color w:val="385623" w:themeColor="accent6" w:themeShade="80"/>
          <w:sz w:val="20"/>
          <w:szCs w:val="20"/>
        </w:rPr>
        <w:t>ережесі</w:t>
      </w:r>
      <w:proofErr w:type="spellEnd"/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Диалогтан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кейін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бірін-бір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өзара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түсіністік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сезімі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келесі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ережелерді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сақтаңыз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Алдымен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тыңда</w:t>
      </w:r>
      <w:proofErr w:type="spellEnd"/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Белсенді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тыңдау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сұрақтар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қоюды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сондай-ақ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серіктесіңіздің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жауаптарын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түсіну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қажет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шоғырландырылған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күш-жігерді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қамтиды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сонымен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бірге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бағалаудан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бас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тартады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Басқаларды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үнемі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шебер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тыңдаған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кезде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олардың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шындығымен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байланыста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боласыз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әңгімелесушіңіздің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жетістіктері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проблемалары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оның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көтерілу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құлдырауды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қалай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жеңетіні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тез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біле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аласыз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Сонымен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қатар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маңызды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нәрсе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маңызды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екенін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74B44">
        <w:rPr>
          <w:rFonts w:ascii="Times New Roman" w:hAnsi="Times New Roman" w:cs="Times New Roman"/>
          <w:sz w:val="20"/>
          <w:szCs w:val="20"/>
        </w:rPr>
        <w:t>көрсетесіз.Нәтижесінде</w:t>
      </w:r>
      <w:proofErr w:type="spellEnd"/>
      <w:proofErr w:type="gram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пікіріңіздің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салмағы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көбірек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болады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өйткені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шындыққа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негізделген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әңгімелесушінің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шындығы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Эмпатия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көрсетіңіз</w:t>
      </w:r>
      <w:proofErr w:type="spellEnd"/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Басқалар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тарихын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бергенде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олардың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ойлау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процесін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түсінуге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тырысыңыз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әлемді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олардың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көзқарасымен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көруге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тырысыңыз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Эмпатия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ғана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мұқият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тыңдау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да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мағынасын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ғана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адамның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мотивін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эмоциясын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ойын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түсіну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қабілеті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Әрине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оңай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Бірақ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әңгімелесуші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сөйлеп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тұрғанда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жауабыңызды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ойлағаннан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гөрі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саналы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әрекет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жақсырақ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Позитивке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назар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аударыңыз</w:t>
      </w:r>
      <w:proofErr w:type="spellEnd"/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Негативте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өмір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сүру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сұхбаттасыңыздан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«бас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тартудың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сенімді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жолы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толық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ұмтылыспен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тыңдамайды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өйткені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оның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өміріндегі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сыртқы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көрінісіңіз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шағымдармен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жоқтаулармен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пессимизммен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байланысты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болады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Сондықтан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позитивке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назар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аударыңыз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Келіспесеңіз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ортақ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тіл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табыңыз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Жағдай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қолайсыз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болса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да,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әңгімелесушіңізді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көңіл-күйіңізбен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қуантуға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тырысыңыз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Шынайы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бол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Әңгімелесушіңізді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мақтаған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кезде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оның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үстірт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қасиеттерін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мақтап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мақтау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ода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жазудың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қажеті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жоқ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Шынайы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бол.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B44">
        <w:rPr>
          <w:rFonts w:ascii="Times New Roman" w:hAnsi="Times New Roman" w:cs="Times New Roman"/>
          <w:sz w:val="20"/>
          <w:szCs w:val="20"/>
        </w:rPr>
        <w:t xml:space="preserve">Сын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кері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байланыс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айтқан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кезде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негативтіге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назар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аудармаңыз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алдымен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көмектескіңіз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келетінін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есте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сақтаңыз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Қажет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болса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кешірім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сұраңыз</w:t>
      </w:r>
      <w:proofErr w:type="spellEnd"/>
    </w:p>
    <w:p w:rsidR="00074B44" w:rsidRDefault="00074B44" w:rsidP="00074B44">
      <w:pPr>
        <w:rPr>
          <w:rFonts w:ascii="Times New Roman" w:hAnsi="Times New Roman" w:cs="Times New Roman"/>
          <w:b/>
          <w:sz w:val="20"/>
          <w:szCs w:val="20"/>
        </w:rPr>
      </w:pPr>
    </w:p>
    <w:p w:rsidR="00074B44" w:rsidRPr="00074B44" w:rsidRDefault="00074B44" w:rsidP="00074B44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Нақты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болыңыз</w:t>
      </w:r>
      <w:proofErr w:type="spellEnd"/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Адамдар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әлі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ақыл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оқуды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үйренбеген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Сондықтан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басқаларға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қаншалықты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бағалайтыныңызды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мазалайтынын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қана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қоймаңыз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Жағдайды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қалай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жақсартуға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болатынын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lastRenderedPageBreak/>
        <w:t>Әңгімелесушіңізде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бірдеңе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ұнамаса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оның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екенін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нақты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одан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шығу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жолын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ұсыныңыз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Әңгімелесушіңізді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құрметтеңіз</w:t>
      </w:r>
      <w:proofErr w:type="spellEnd"/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оны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басқаларға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көрсеткенде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құрметке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боласыз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адамдарды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өте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қарапайым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қарапайым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жолдармен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тани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аласыз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құрмет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көрсете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аласыз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: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B44">
        <w:rPr>
          <w:rFonts w:ascii="Times New Roman" w:hAnsi="Times New Roman" w:cs="Times New Roman"/>
          <w:sz w:val="20"/>
          <w:szCs w:val="20"/>
        </w:rPr>
        <w:t xml:space="preserve">• бас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изеу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;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B4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күлімсіреу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;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B44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ғана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сәлем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Теріс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эмоционалды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реакцияларды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тудыратын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сарказм мен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дөрекі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сөздерден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аулақ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болыңыз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Басқалармен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сізбен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сөйлескенін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қаласаңыз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солай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сөйлесіңіз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Үзіліс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жасаңыз</w:t>
      </w:r>
      <w:proofErr w:type="spellEnd"/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Біздің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жағдайда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үзіліс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сөйлеу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алдында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тоқтап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ойлану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Автоматтандырудың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көмегімен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нәрсені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үйрену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мүмкін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жаңа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нәрсені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үйрену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өзіңізге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пайдалы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дағдыларды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сіңіру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бұл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мақаланы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оқып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жатқан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шығарсыз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Адал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бол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4B4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менен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бірдеңені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жасырып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жатыр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?»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деген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ой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пайда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болғанда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қалай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се</w:t>
      </w:r>
      <w:r>
        <w:rPr>
          <w:rFonts w:ascii="Times New Roman" w:hAnsi="Times New Roman" w:cs="Times New Roman"/>
          <w:sz w:val="20"/>
          <w:szCs w:val="20"/>
        </w:rPr>
        <w:t>зінесіз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Адалдық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дегеніміз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бәрі</w:t>
      </w:r>
      <w:r w:rsidRPr="00074B44">
        <w:rPr>
          <w:rFonts w:ascii="Times New Roman" w:hAnsi="Times New Roman" w:cs="Times New Roman"/>
          <w:sz w:val="20"/>
          <w:szCs w:val="20"/>
        </w:rPr>
        <w:t>мен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бөлісу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керек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дегенді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білдірмейді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Адалдық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- диалог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кезінде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ашықтықты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сақтай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білу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Белгілі бір </w:t>
      </w: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r w:rsidRPr="00074B44">
        <w:rPr>
          <w:rFonts w:ascii="Times New Roman" w:hAnsi="Times New Roman" w:cs="Times New Roman"/>
          <w:sz w:val="20"/>
          <w:szCs w:val="20"/>
        </w:rPr>
        <w:t>ақырып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сөйлесіп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жатсаңыз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дірілдемеу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керек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.</w:t>
      </w: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74B44" w:rsidRPr="00074B44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Қашан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Pr="00074B44">
        <w:rPr>
          <w:rFonts w:ascii="Times New Roman" w:hAnsi="Times New Roman" w:cs="Times New Roman"/>
          <w:b/>
          <w:sz w:val="20"/>
          <w:szCs w:val="20"/>
          <w:lang w:val="kk-KZ"/>
        </w:rPr>
        <w:t>өз беру</w:t>
      </w:r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керектігін</w:t>
      </w:r>
      <w:proofErr w:type="spellEnd"/>
      <w:r w:rsidRPr="00074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b/>
          <w:sz w:val="20"/>
          <w:szCs w:val="20"/>
        </w:rPr>
        <w:t>біліңіз</w:t>
      </w:r>
      <w:proofErr w:type="spellEnd"/>
    </w:p>
    <w:p w:rsidR="00074B44" w:rsidRPr="00D3351C" w:rsidRDefault="00074B44" w:rsidP="00074B4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Көптеген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адамдар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өздеріне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айтылған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келген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пікірге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қарсы</w:t>
      </w:r>
      <w:proofErr w:type="spellEnd"/>
      <w:r w:rsidR="00D33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3351C">
        <w:rPr>
          <w:rFonts w:ascii="Times New Roman" w:hAnsi="Times New Roman" w:cs="Times New Roman"/>
          <w:sz w:val="20"/>
          <w:szCs w:val="20"/>
        </w:rPr>
        <w:t>тұрып</w:t>
      </w:r>
      <w:proofErr w:type="spellEnd"/>
      <w:r w:rsidR="00D3351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3351C">
        <w:rPr>
          <w:rFonts w:ascii="Times New Roman" w:hAnsi="Times New Roman" w:cs="Times New Roman"/>
          <w:sz w:val="20"/>
          <w:szCs w:val="20"/>
        </w:rPr>
        <w:t>жиі</w:t>
      </w:r>
      <w:proofErr w:type="spellEnd"/>
      <w:proofErr w:type="gramEnd"/>
      <w:r w:rsidR="00D335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3351C">
        <w:rPr>
          <w:rFonts w:ascii="Times New Roman" w:hAnsi="Times New Roman" w:cs="Times New Roman"/>
          <w:sz w:val="20"/>
          <w:szCs w:val="20"/>
        </w:rPr>
        <w:t>өкінеді</w:t>
      </w:r>
      <w:proofErr w:type="spellEnd"/>
      <w:r w:rsidR="00D3351C">
        <w:rPr>
          <w:rFonts w:ascii="Times New Roman" w:hAnsi="Times New Roman" w:cs="Times New Roman"/>
          <w:sz w:val="20"/>
          <w:szCs w:val="20"/>
        </w:rPr>
        <w:t>.</w:t>
      </w:r>
      <w:r w:rsidR="00D3351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3351C">
        <w:rPr>
          <w:rFonts w:ascii="Times New Roman" w:hAnsi="Times New Roman" w:cs="Times New Roman"/>
          <w:sz w:val="20"/>
          <w:szCs w:val="20"/>
          <w:lang w:val="kk-KZ"/>
        </w:rPr>
        <w:t>Адамдар өздерінің сенімдеріне эмоционалды түрде</w:t>
      </w:r>
      <w:r w:rsidR="00D3351C">
        <w:rPr>
          <w:rFonts w:ascii="Times New Roman" w:hAnsi="Times New Roman" w:cs="Times New Roman"/>
          <w:sz w:val="20"/>
          <w:szCs w:val="20"/>
          <w:lang w:val="kk-KZ"/>
        </w:rPr>
        <w:t xml:space="preserve"> байланғанын есте сақтаңыз</w:t>
      </w:r>
      <w:r w:rsidR="00D3351C" w:rsidRPr="00D3351C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D3351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D3351C" w:rsidRDefault="00D3351C" w:rsidP="00074B4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74B44" w:rsidRPr="00D3351C" w:rsidRDefault="00074B44" w:rsidP="00074B44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3351C">
        <w:rPr>
          <w:rFonts w:ascii="Times New Roman" w:hAnsi="Times New Roman" w:cs="Times New Roman"/>
          <w:b/>
          <w:sz w:val="20"/>
          <w:szCs w:val="20"/>
          <w:lang w:val="kk-KZ"/>
        </w:rPr>
        <w:t>Тұрақты болыңыз</w:t>
      </w:r>
    </w:p>
    <w:p w:rsidR="00074B44" w:rsidRPr="007F727D" w:rsidRDefault="00074B44" w:rsidP="00074B4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3351C">
        <w:rPr>
          <w:rFonts w:ascii="Times New Roman" w:hAnsi="Times New Roman" w:cs="Times New Roman"/>
          <w:sz w:val="20"/>
          <w:szCs w:val="20"/>
          <w:lang w:val="kk-KZ"/>
        </w:rPr>
        <w:t>Байланыс ыстық көмірмен немесе мұхит дауылымен жүрмеуі кере</w:t>
      </w:r>
      <w:r w:rsidRPr="007F727D">
        <w:rPr>
          <w:rFonts w:ascii="Times New Roman" w:hAnsi="Times New Roman" w:cs="Times New Roman"/>
          <w:sz w:val="20"/>
          <w:szCs w:val="20"/>
          <w:lang w:val="kk-KZ"/>
        </w:rPr>
        <w:t>к, біркелкі қозғалатын ағынға ұқсауы керек.</w:t>
      </w:r>
      <w:bookmarkStart w:id="0" w:name="_GoBack"/>
      <w:bookmarkEnd w:id="0"/>
    </w:p>
    <w:p w:rsidR="00074B44" w:rsidRPr="007F727D" w:rsidRDefault="00074B44" w:rsidP="00074B4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074B44" w:rsidRDefault="00074B44" w:rsidP="00074B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Сізге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сәттілік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B44">
        <w:rPr>
          <w:rFonts w:ascii="Times New Roman" w:hAnsi="Times New Roman" w:cs="Times New Roman"/>
          <w:sz w:val="20"/>
          <w:szCs w:val="20"/>
        </w:rPr>
        <w:t>тілейміз</w:t>
      </w:r>
      <w:proofErr w:type="spellEnd"/>
      <w:r w:rsidRPr="00074B44">
        <w:rPr>
          <w:rFonts w:ascii="Times New Roman" w:hAnsi="Times New Roman" w:cs="Times New Roman"/>
          <w:sz w:val="20"/>
          <w:szCs w:val="20"/>
        </w:rPr>
        <w:t>!</w:t>
      </w:r>
    </w:p>
    <w:p w:rsidR="007F727D" w:rsidRDefault="007F727D" w:rsidP="00074B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27D" w:rsidRPr="007F727D" w:rsidRDefault="007F727D" w:rsidP="00074B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727D" w:rsidRPr="007F727D" w:rsidRDefault="007F727D" w:rsidP="007F727D">
      <w:pPr>
        <w:spacing w:line="252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</w:pPr>
      <w:r w:rsidRPr="007F727D">
        <w:rPr>
          <w:rFonts w:ascii="Times New Roman" w:eastAsia="Calibri" w:hAnsi="Times New Roman" w:cs="Times New Roman"/>
          <w:b/>
          <w:i/>
          <w:sz w:val="20"/>
          <w:szCs w:val="20"/>
          <w:lang w:val="kk-KZ"/>
        </w:rPr>
        <w:t>Абай атындағы ШҚГК психологиялық қызметі</w:t>
      </w:r>
    </w:p>
    <w:p w:rsidR="007F727D" w:rsidRPr="00074B44" w:rsidRDefault="007F727D" w:rsidP="00074B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72BC" w:rsidRPr="00074B44" w:rsidRDefault="007F727D">
      <w:pPr>
        <w:rPr>
          <w:lang w:val="kk-KZ"/>
        </w:rPr>
      </w:pPr>
    </w:p>
    <w:sectPr w:rsidR="002D72BC" w:rsidRPr="00074B44" w:rsidSect="00074B44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2"/>
    <w:rsid w:val="00074B44"/>
    <w:rsid w:val="005C06B1"/>
    <w:rsid w:val="007F727D"/>
    <w:rsid w:val="00D3351C"/>
    <w:rsid w:val="00DB1FB3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50B5"/>
  <w15:chartTrackingRefBased/>
  <w15:docId w15:val="{1096A48A-C68D-40E5-BD2F-F1FACF2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Rauza</dc:creator>
  <cp:keywords/>
  <dc:description/>
  <cp:lastModifiedBy>Rauza</cp:lastModifiedBy>
  <cp:revision>4</cp:revision>
  <dcterms:created xsi:type="dcterms:W3CDTF">2023-11-24T09:01:00Z</dcterms:created>
  <dcterms:modified xsi:type="dcterms:W3CDTF">2023-11-24T09:16:00Z</dcterms:modified>
</cp:coreProperties>
</file>