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7" w:rsidRPr="009C7EE6" w:rsidRDefault="00FF4780" w:rsidP="0076029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  <w:lang w:val="kk-KZ"/>
        </w:rPr>
      </w:pPr>
      <w:r w:rsidRPr="009C7EE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БІЛІМ БЕРУ ҰЙЫМДАРЫНДА БІЛІМ АЛУШЫЛАРҒА АКАДЕМИЯЛЫҚ</w:t>
      </w:r>
    </w:p>
    <w:p w:rsidR="0037239B" w:rsidRPr="009C7EE6" w:rsidRDefault="00FF4780" w:rsidP="0076029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  <w:lang w:val="kk-KZ"/>
        </w:rPr>
      </w:pPr>
      <w:r w:rsidRPr="009C7EE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ДЕМАЛЫС БЕРУ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3"/>
      </w:tblGrid>
      <w:tr w:rsidR="007E5E98" w:rsidRPr="009C7EE6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7E5E98" w:rsidP="007E5E98">
            <w:pPr>
              <w:spacing w:after="0" w:line="240" w:lineRule="auto"/>
              <w:ind w:left="107" w:right="142" w:firstLine="142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  <w:t>Қызмет көрсетілетін орын</w:t>
            </w:r>
          </w:p>
        </w:tc>
      </w:tr>
      <w:tr w:rsidR="007E5E98" w:rsidRPr="00B0027C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476" w:rsidRPr="009C7EE6" w:rsidRDefault="00F40476" w:rsidP="00F40476">
            <w:pPr>
              <w:pStyle w:val="a7"/>
              <w:spacing w:after="0" w:line="240" w:lineRule="auto"/>
              <w:ind w:left="609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Мемлекеттік қызмет</w:t>
            </w:r>
            <w:r w:rsidR="004E69F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ті көрсетеді:</w:t>
            </w:r>
            <w:bookmarkStart w:id="0" w:name="_GoBack"/>
            <w:bookmarkEnd w:id="0"/>
          </w:p>
          <w:p w:rsidR="00F40476" w:rsidRPr="009C7EE6" w:rsidRDefault="00F40476" w:rsidP="00F40476">
            <w:pPr>
              <w:pStyle w:val="a7"/>
              <w:spacing w:after="0" w:line="240" w:lineRule="auto"/>
              <w:ind w:left="609" w:right="14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1)</w:t>
            </w:r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«</w:t>
            </w:r>
            <w:r w:rsidR="00816540"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Абай атындаға </w:t>
            </w:r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Шығыс Қазақстан гуманитарлық колледжі» КМҚК</w:t>
            </w:r>
          </w:p>
          <w:p w:rsidR="007E5E98" w:rsidRPr="009C7EE6" w:rsidRDefault="00000457" w:rsidP="00F40476">
            <w:pPr>
              <w:pStyle w:val="a7"/>
              <w:spacing w:after="0" w:line="240" w:lineRule="auto"/>
              <w:ind w:left="609" w:right="14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2)</w:t>
            </w:r>
            <w:r w:rsidR="00816540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 xml:space="preserve"> «Азаматтарға арналған үкімет» мемлекеттік корпорациясы» коммерциялық емес акционерлік қоғамы</w:t>
            </w:r>
          </w:p>
        </w:tc>
      </w:tr>
      <w:tr w:rsidR="007E5E98" w:rsidRPr="009C7EE6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7E5E98" w:rsidP="007E5E98">
            <w:pPr>
              <w:spacing w:after="0" w:line="240" w:lineRule="auto"/>
              <w:ind w:left="107" w:right="142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  <w:t>Қызметті алушылар</w:t>
            </w:r>
          </w:p>
        </w:tc>
      </w:tr>
      <w:tr w:rsidR="007E5E98" w:rsidRPr="009C7EE6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5E6DE1" w:rsidP="005E6DE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9C7E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Жеке</w:t>
            </w:r>
            <w:proofErr w:type="spellEnd"/>
            <w:r w:rsidRPr="009C7E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757CD9" w:rsidRPr="009C7E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тұлғалар</w:t>
            </w:r>
          </w:p>
        </w:tc>
      </w:tr>
      <w:tr w:rsidR="007E5E98" w:rsidRPr="009C7EE6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7E5E98" w:rsidP="007E5E98">
            <w:pPr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  <w:t>Қызмет көрсету мерзімі</w:t>
            </w:r>
          </w:p>
        </w:tc>
      </w:tr>
      <w:tr w:rsidR="007E5E98" w:rsidRPr="00B0027C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7EE6" w:rsidRPr="009C7EE6" w:rsidRDefault="009C7EE6" w:rsidP="009C7EE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 xml:space="preserve">1) </w:t>
            </w:r>
            <w:r w:rsidR="00816540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 xml:space="preserve">көрсетілетін қызметті берушіге, Мемлекеттік корпорацияға көрсетілетін қызметті берушінің орналасқан жері бойынша құжаттар топтамасын тапсырған күннен бастап – 2 (екі) жұмыс күні. </w:t>
            </w:r>
            <w:r w:rsidR="00816540" w:rsidRPr="004E69F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 xml:space="preserve">Мемлекеттік корпорацияға жүгінген кезде қабылдау күні мемлекеттік қызмет көрсету мерзіміне кірмейді. </w:t>
            </w:r>
            <w:r w:rsidR="00000457" w:rsidRPr="004E69FE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>Колледж мемлекеттік қызмет көрсету мерзімі аяқталғанға дейін бір тәуліктен кешіктірмей мемлекеттік көрсетілетін қызмет нәтижесін Мемлекеттік корпорацияға жеткізуді қамтамасыз етеді</w:t>
            </w:r>
          </w:p>
          <w:p w:rsidR="009C7EE6" w:rsidRPr="009C7EE6" w:rsidRDefault="00816540" w:rsidP="009C7EE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>2) көрсетілетін қызметті алушының құжаттар топтамасын тапсыру үшін кезек күтудің барынша рұқсат етілген уақыты – 20 (жиырма) минут, Мемлекеттік корпорацияда – 15 (он бес) минут;</w:t>
            </w:r>
          </w:p>
          <w:p w:rsidR="007E5E98" w:rsidRPr="009C7EE6" w:rsidRDefault="00816540" w:rsidP="009C7EE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>3) көрсетілетін қызметті алушыға қызмет көрсетудің барынша рұқсат етілген уақыты – 30 (отыз) минут, Мемлекеттік корпорацияда – 15 (он бес) минут.</w:t>
            </w:r>
          </w:p>
        </w:tc>
      </w:tr>
      <w:tr w:rsidR="007E5E98" w:rsidRPr="009C7EE6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7E5E98" w:rsidP="007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  <w:t>Қажетті құжаттар</w:t>
            </w:r>
          </w:p>
        </w:tc>
      </w:tr>
      <w:tr w:rsidR="007E5E98" w:rsidRPr="00B0027C" w:rsidTr="005E6DE1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476" w:rsidRPr="009C7EE6" w:rsidRDefault="00147618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Сырқатына байланысты </w:t>
            </w:r>
            <w:r w:rsidR="00000457"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ұзақтығы 6 айдан 12 айға дейінгі академиялық демалыс беру үшін: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1) жеке басын куәландыратын құжат (сәйкестендіру үшін қажет);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2) академиялық демалыс беру туралы өтініш;</w:t>
            </w:r>
          </w:p>
          <w:p w:rsidR="00000457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3) амбулаториялық-емханалық ұйым жанындағы ДКК қорытындысы;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Ұзақтығы 36 айдан аспайтын туберкулезбен ауырған жағдайда академиялық демалыс беру үшін: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1) жеке басын куәландыратын құжат (сәйкестендіру үшін қажет);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2) академиялық демалыс беру туралы өтініш;</w:t>
            </w:r>
          </w:p>
          <w:p w:rsidR="00000457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3) туберкулезге қарсы ұйымның ОДКК шешімі;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Әскерге шақырылушы білім алушыларға академиялық демалыс беру үшін: 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1) жеке басын куәландыратын құжат (сәйкестендіру үшін қажет);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2) академиялық демалыс беру туралы өтініш;</w:t>
            </w:r>
          </w:p>
          <w:p w:rsidR="00000457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3) әскери қызметке шақыру туралы шақыру қағазы;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Бала 3 жасқа толғанға дейін академиялық демалыс беру үшін: 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1) жеке басын куәландыратын құжат (сәйкестендіру үшін қажет);</w:t>
            </w:r>
          </w:p>
          <w:p w:rsidR="00F40476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2) академиялық демалыс беру туралы өтініш;</w:t>
            </w:r>
          </w:p>
          <w:p w:rsidR="007E5E98" w:rsidRPr="009C7EE6" w:rsidRDefault="00000457" w:rsidP="0000045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3) баланың тууы, асырап алуы туралы құжаттар (куәлік)</w:t>
            </w:r>
          </w:p>
        </w:tc>
      </w:tr>
      <w:tr w:rsidR="007E5E98" w:rsidRPr="009C7EE6" w:rsidTr="005E6DE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7E5E98" w:rsidP="007E5E98">
            <w:pPr>
              <w:spacing w:after="0" w:line="240" w:lineRule="auto"/>
              <w:ind w:left="107" w:right="142" w:firstLine="142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en-US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  <w:t>Қызметтің құны</w:t>
            </w:r>
          </w:p>
        </w:tc>
      </w:tr>
      <w:tr w:rsidR="007E5E98" w:rsidRPr="009C7EE6" w:rsidTr="005E6DE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7E5E98" w:rsidP="00EA7FB7">
            <w:pPr>
              <w:spacing w:after="0" w:line="240" w:lineRule="auto"/>
              <w:ind w:left="107" w:righ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Тегін</w:t>
            </w:r>
          </w:p>
        </w:tc>
      </w:tr>
      <w:tr w:rsidR="007E5E98" w:rsidRPr="009C7EE6" w:rsidTr="005E6DE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7E5E98" w:rsidP="005E6DE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  <w:t>Мемлекеттік қызметтің нәтижесі</w:t>
            </w:r>
          </w:p>
        </w:tc>
      </w:tr>
      <w:tr w:rsidR="007E5E98" w:rsidRPr="009C7EE6" w:rsidTr="008211FD">
        <w:trPr>
          <w:trHeight w:val="92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E98" w:rsidRPr="009C7EE6" w:rsidRDefault="00F40476" w:rsidP="00EA7FB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  <w:shd w:val="clear" w:color="auto" w:fill="FFFFFF"/>
              </w:rPr>
              <w:t>Белгіленгентәртіппенрасталғанкөрсетілетінқызметтіберушібасшысыныңбілімалушығабасталужәнеаяқталумерзімінкөрсетеотырып, академиялықдемалыс беру туралыбұйрығыныңкөшірмесі не Қағидалардың 3-тармағында белгіленгеннегіздемебойыншамемлекеттікқызметкөрсетуден бас тартутуралыдәлелдіжауап.</w:t>
            </w:r>
            <w:r w:rsidRPr="009C7EE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br/>
            </w:r>
            <w:r w:rsidRPr="009C7EE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  <w:shd w:val="clear" w:color="auto" w:fill="FFFFFF"/>
              </w:rPr>
              <w:t xml:space="preserve">Мемлекеттікқызметтікөрсетунәтижелерін беру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  <w:shd w:val="clear" w:color="auto" w:fill="FFFFFF"/>
              </w:rPr>
              <w:t>нысаны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  <w:shd w:val="clear" w:color="auto" w:fill="FFFFFF"/>
              </w:rPr>
              <w:t>: қағазжүзінде.</w:t>
            </w:r>
          </w:p>
        </w:tc>
      </w:tr>
      <w:tr w:rsidR="008211FD" w:rsidRPr="009C7EE6" w:rsidTr="008211FD">
        <w:trPr>
          <w:trHeight w:val="34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1FD" w:rsidRPr="009C7EE6" w:rsidRDefault="008211FD" w:rsidP="008211FD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kk-KZ"/>
              </w:rPr>
              <w:t>Бас тарту үшін негіздер</w:t>
            </w:r>
          </w:p>
        </w:tc>
      </w:tr>
      <w:tr w:rsidR="008211FD" w:rsidRPr="00B0027C" w:rsidTr="008211FD">
        <w:trPr>
          <w:trHeight w:val="92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1FD" w:rsidRPr="009C7EE6" w:rsidRDefault="008211FD" w:rsidP="008211F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1) көрсетілетін қызметті алушы мемлекеттік көрсетілетін қызметті алу үшін ұсынған құжаттардың және (немесе) олардағы деректердің (мәліметтердің) анық еместігін анықтау;</w:t>
            </w:r>
          </w:p>
          <w:p w:rsidR="008211FD" w:rsidRPr="009C7EE6" w:rsidRDefault="008211FD" w:rsidP="008211FD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2) көрсетілетін қызметті алушының және (немесе) мемлекеттік қызметті көрсету үшін қажетті ұсынылған материалдардың, деректер мен мәліметтердің сәйкес келмеуі.</w:t>
            </w:r>
            <w:r w:rsidR="0014761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.</w:t>
            </w:r>
          </w:p>
        </w:tc>
      </w:tr>
    </w:tbl>
    <w:p w:rsidR="00832F9B" w:rsidRPr="009C7EE6" w:rsidRDefault="00FF4780" w:rsidP="005E6DE1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6"/>
          <w:szCs w:val="26"/>
          <w:lang w:val="kk-KZ"/>
        </w:rPr>
      </w:pPr>
      <w:r w:rsidRPr="009C7EE6">
        <w:rPr>
          <w:rStyle w:val="s1"/>
          <w:color w:val="548DD4" w:themeColor="text2" w:themeTint="99"/>
          <w:sz w:val="26"/>
          <w:szCs w:val="26"/>
        </w:rPr>
        <w:lastRenderedPageBreak/>
        <w:t>ПРЕДОСТАВЛЕНИЕ АКАДЕМИЧЕСКИХ ОТПУСКОВ ОБУЧАЮЩИМСЯ В ОРГАНИЗАЦИЯХ ОБРАЗОВАНИЯ</w:t>
      </w:r>
    </w:p>
    <w:tbl>
      <w:tblPr>
        <w:tblW w:w="11341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1"/>
      </w:tblGrid>
      <w:tr w:rsidR="00EA7FB7" w:rsidRPr="009C7EE6" w:rsidTr="007E6271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B7" w:rsidRPr="009C7EE6" w:rsidRDefault="00EA7FB7" w:rsidP="00292DB7">
            <w:pPr>
              <w:spacing w:after="0" w:line="240" w:lineRule="auto"/>
              <w:ind w:left="107" w:right="142" w:firstLine="142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  <w:t>Место предоставления услуги</w:t>
            </w:r>
          </w:p>
        </w:tc>
      </w:tr>
      <w:tr w:rsidR="00EA7FB7" w:rsidRPr="009C7EE6" w:rsidTr="007901CC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DB7" w:rsidRPr="009C7EE6" w:rsidRDefault="005E6DE1" w:rsidP="00292D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ую</w:t>
            </w: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услуг</w:t>
            </w: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у</w:t>
            </w: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оказыва</w:t>
            </w:r>
            <w:r w:rsidR="00292DB7"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292DB7"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F40476" w:rsidRPr="009C7EE6" w:rsidRDefault="00292DB7" w:rsidP="009C7EE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</w:t>
            </w:r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КГКП «</w:t>
            </w:r>
            <w:proofErr w:type="spellStart"/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Восточно-Казахстански</w:t>
            </w:r>
            <w:proofErr w:type="spellEnd"/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й</w:t>
            </w:r>
            <w:proofErr w:type="spellStart"/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>гуманитарны</w:t>
            </w:r>
            <w:proofErr w:type="spellEnd"/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й</w:t>
            </w:r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колледж</w:t>
            </w:r>
            <w:r w:rsidR="00245B56" w:rsidRPr="009C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Абая</w:t>
            </w:r>
            <w:r w:rsidR="005E6DE1"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»</w:t>
            </w:r>
          </w:p>
          <w:p w:rsidR="00123FC8" w:rsidRPr="009C7EE6" w:rsidRDefault="00292DB7" w:rsidP="009C7EE6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C7EE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2) </w:t>
            </w:r>
            <w:r w:rsidR="008A4AA1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="00123FC8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екоммерческое акционерное общество "Государственная корпорация "Правительство для граждан"</w:t>
            </w:r>
          </w:p>
        </w:tc>
      </w:tr>
      <w:tr w:rsidR="00EA7FB7" w:rsidRPr="009C7EE6" w:rsidTr="00257CB3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B7" w:rsidRPr="009C7EE6" w:rsidRDefault="00EA7FB7" w:rsidP="00292D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  <w:t>Получатели услуги</w:t>
            </w:r>
          </w:p>
        </w:tc>
      </w:tr>
      <w:tr w:rsidR="00EA7FB7" w:rsidRPr="009C7EE6" w:rsidTr="002A4AD4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FB7" w:rsidRPr="009C7EE6" w:rsidRDefault="00EA7FB7" w:rsidP="00292D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Физически</w:t>
            </w:r>
            <w:r w:rsidR="00757CD9" w:rsidRPr="009C7E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е лица </w:t>
            </w:r>
          </w:p>
        </w:tc>
      </w:tr>
      <w:tr w:rsidR="0070608E" w:rsidRPr="009C7EE6" w:rsidTr="00246170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08E" w:rsidRPr="009C7EE6" w:rsidRDefault="0070608E" w:rsidP="00292DB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  <w:lang w:val="kk-KZ"/>
              </w:rPr>
            </w:pPr>
            <w:bookmarkStart w:id="1" w:name="z26"/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  <w:t>Сроки оказания услуги</w:t>
            </w:r>
            <w:bookmarkEnd w:id="1"/>
          </w:p>
        </w:tc>
      </w:tr>
      <w:tr w:rsidR="0070608E" w:rsidRPr="009C7EE6" w:rsidTr="006423A4">
        <w:trPr>
          <w:trHeight w:val="1858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2DB7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1) Со дня сдачи пакета документов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услугодателю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 Государственную корпорацию по месту нахождения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</w:t>
            </w:r>
            <w:r w:rsidR="00292DB7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годателя</w:t>
            </w:r>
            <w:proofErr w:type="spellEnd"/>
            <w:r w:rsidR="00292DB7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– 2 (два) рабочих дня. 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r w:rsidR="00292DB7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Колледж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</w:t>
            </w:r>
            <w:r w:rsidR="00292DB7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азания государственной услуги. </w:t>
            </w:r>
          </w:p>
          <w:p w:rsidR="0070608E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услугополучателемуслугодателю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– 20 (двадцать) минут, в Государственную корпорацию – 15 (пятнадцать) минут;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 xml:space="preserve"> 3) Максимально допустимое время обслуживания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услугополучателя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у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услугодателя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– 30 (тридцать) минут, в Государственной корпорации – 15 (пятнадцать) минут.</w:t>
            </w:r>
          </w:p>
        </w:tc>
      </w:tr>
      <w:tr w:rsidR="0070608E" w:rsidRPr="009C7EE6" w:rsidTr="00C16ACF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08E" w:rsidRPr="009C7EE6" w:rsidRDefault="0070608E" w:rsidP="00292DB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  <w:t>Необходимые документы</w:t>
            </w:r>
          </w:p>
        </w:tc>
      </w:tr>
      <w:tr w:rsidR="0070608E" w:rsidRPr="009C7EE6" w:rsidTr="00292DB7">
        <w:trPr>
          <w:trHeight w:val="5476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AA1" w:rsidRPr="009C7EE6" w:rsidRDefault="008A4AA1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Д</w:t>
            </w:r>
            <w:r w:rsidR="00123FC8"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ля предоставления академического отпуска по болезни продолжительностью от 6 до 12 месяцев:</w:t>
            </w:r>
          </w:p>
          <w:p w:rsidR="008A4AA1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1) документ, удостоверяющий личность (требуется для идентификации);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 xml:space="preserve">2) заявление о предоставлении </w:t>
            </w:r>
            <w:r w:rsidR="008A4AA1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академического отпуска по форме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>3) заключение ВКК при амбулаторно-поликлинической организации;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</w:r>
            <w:r w:rsidR="008A4AA1"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Д</w:t>
            </w:r>
            <w:r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8A4AA1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1) документ, удостоверяющий личность (требуется для идентификации);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>2) заявление о предоставлении академического отпуска;</w:t>
            </w:r>
          </w:p>
          <w:p w:rsidR="008A4AA1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3) решение ЦВКК противотуберкулезной организации;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</w:r>
            <w:r w:rsidR="008A4AA1"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Д</w:t>
            </w:r>
            <w:r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ля предоставления академического отпуска обучающимся-призывникам:</w:t>
            </w:r>
          </w:p>
          <w:p w:rsidR="008A4AA1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1) документ, удостоверяющий личность (требуется для идентификации);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>2) заявление о предоставлении академического отпуска;</w:t>
            </w:r>
          </w:p>
          <w:p w:rsidR="008A4AA1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3) повестка о призыве на воинскую службу;</w:t>
            </w:r>
          </w:p>
          <w:p w:rsidR="008A4AA1" w:rsidRPr="009C7EE6" w:rsidRDefault="008A4AA1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Д</w:t>
            </w:r>
            <w:r w:rsidR="00123FC8"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 xml:space="preserve">ля предоставления академического отпуска до достижения ребенком возраста </w:t>
            </w:r>
            <w:r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>3</w:t>
            </w:r>
            <w:r w:rsidR="00123FC8" w:rsidRPr="009C7EE6">
              <w:rPr>
                <w:rFonts w:ascii="Times New Roman" w:hAnsi="Times New Roman" w:cs="Times New Roman"/>
                <w:b/>
                <w:color w:val="000000"/>
                <w:spacing w:val="2"/>
                <w:sz w:val="26"/>
                <w:szCs w:val="26"/>
              </w:rPr>
              <w:t xml:space="preserve"> лет:</w:t>
            </w:r>
            <w:r w:rsidR="00123FC8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>1) документ, удостоверяющий личность (требуется для идентификации);</w:t>
            </w:r>
            <w:r w:rsidR="00123FC8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>2) заявление о предоставлении академического отпуска;</w:t>
            </w:r>
          </w:p>
          <w:p w:rsidR="0070608E" w:rsidRPr="009C7EE6" w:rsidRDefault="00123FC8" w:rsidP="00292DB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3) документы (свидетельство) о рождении, усыновлении или удочерении ребенка</w:t>
            </w:r>
          </w:p>
        </w:tc>
      </w:tr>
      <w:tr w:rsidR="0070608E" w:rsidRPr="009C7EE6" w:rsidTr="00C66F21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08E" w:rsidRPr="009C7EE6" w:rsidRDefault="0070608E" w:rsidP="00292DB7">
            <w:pPr>
              <w:spacing w:after="0" w:line="240" w:lineRule="auto"/>
              <w:ind w:left="107" w:right="142" w:firstLine="142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4F81BD" w:themeColor="accent1"/>
                <w:sz w:val="26"/>
                <w:szCs w:val="26"/>
              </w:rPr>
              <w:t>Стоимость услуги</w:t>
            </w:r>
          </w:p>
        </w:tc>
      </w:tr>
      <w:tr w:rsidR="0070608E" w:rsidRPr="009C7EE6" w:rsidTr="00E400F7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08E" w:rsidRPr="009C7EE6" w:rsidRDefault="0070608E" w:rsidP="00292DB7">
            <w:pPr>
              <w:spacing w:after="0" w:line="240" w:lineRule="auto"/>
              <w:ind w:left="107" w:righ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Бесплатно</w:t>
            </w:r>
          </w:p>
        </w:tc>
      </w:tr>
      <w:tr w:rsidR="0070608E" w:rsidRPr="009C7EE6" w:rsidTr="00E400F7"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08E" w:rsidRPr="009C7EE6" w:rsidRDefault="0070608E" w:rsidP="00292DB7">
            <w:pPr>
              <w:spacing w:after="0" w:line="240" w:lineRule="auto"/>
              <w:ind w:left="107" w:right="142" w:firstLine="142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</w:pPr>
            <w:r w:rsidRPr="009C7EE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  <w:t>Результат государственной услуги</w:t>
            </w:r>
          </w:p>
        </w:tc>
      </w:tr>
      <w:tr w:rsidR="0070608E" w:rsidRPr="009C7EE6" w:rsidTr="00292DB7">
        <w:trPr>
          <w:trHeight w:val="1046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08E" w:rsidRPr="009C7EE6" w:rsidRDefault="00123FC8" w:rsidP="00292DB7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color w:val="548DD4" w:themeColor="text2" w:themeTint="99"/>
                <w:sz w:val="26"/>
                <w:szCs w:val="26"/>
                <w:lang w:val="kk-KZ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Заверенная в установленном порядке копия приказа руководителя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услугодателя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о предоставлении обучающемуся академического отпуска с указанием сроков его начала и окончания либо мотивированный ответ об отказе в оказании госуд</w:t>
            </w:r>
            <w:r w:rsidR="008A4AA1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арственной услуги по основаниям</w:t>
            </w:r>
          </w:p>
        </w:tc>
      </w:tr>
      <w:tr w:rsidR="00BB277E" w:rsidRPr="009C7EE6" w:rsidTr="00B0027C">
        <w:trPr>
          <w:trHeight w:val="277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77E" w:rsidRPr="009C7EE6" w:rsidRDefault="00BB277E" w:rsidP="00292DB7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color w:val="4F81BD" w:themeColor="accent1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b/>
                <w:color w:val="4F81BD" w:themeColor="accent1"/>
                <w:spacing w:val="2"/>
                <w:sz w:val="26"/>
                <w:szCs w:val="26"/>
              </w:rPr>
              <w:t>Основания для отказа</w:t>
            </w:r>
          </w:p>
        </w:tc>
      </w:tr>
      <w:tr w:rsidR="00BB277E" w:rsidRPr="009C7EE6" w:rsidTr="00292DB7">
        <w:trPr>
          <w:trHeight w:val="1398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77E" w:rsidRPr="009C7EE6" w:rsidRDefault="00BB277E" w:rsidP="00292DB7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1) Выявление недостоверности документов, представленных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услугополучателем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для получения государственной услуги, и (или) данных (сведений), содержащихся в них;</w:t>
            </w:r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br/>
              <w:t xml:space="preserve">2) несоответствие </w:t>
            </w:r>
            <w:proofErr w:type="spellStart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услугополучателя</w:t>
            </w:r>
            <w:proofErr w:type="spellEnd"/>
            <w:r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и (или) представленных материалов, данных и сведений, необходимых для оказания государственной услуги</w:t>
            </w:r>
            <w:r w:rsidR="00292DB7" w:rsidRPr="009C7EE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</w:p>
        </w:tc>
      </w:tr>
    </w:tbl>
    <w:p w:rsidR="00832F9B" w:rsidRPr="009C7EE6" w:rsidRDefault="00832F9B" w:rsidP="009C7E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832F9B" w:rsidRPr="009C7EE6" w:rsidSect="00EA7FB7">
      <w:pgSz w:w="23814" w:h="16839" w:orient="landscape" w:code="8"/>
      <w:pgMar w:top="426" w:right="567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BFE"/>
    <w:multiLevelType w:val="hybridMultilevel"/>
    <w:tmpl w:val="5A4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E96"/>
    <w:multiLevelType w:val="hybridMultilevel"/>
    <w:tmpl w:val="EC9CBD9A"/>
    <w:lvl w:ilvl="0" w:tplc="E2928E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770841"/>
    <w:multiLevelType w:val="hybridMultilevel"/>
    <w:tmpl w:val="62AE4612"/>
    <w:lvl w:ilvl="0" w:tplc="56069F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3A1B77"/>
    <w:multiLevelType w:val="hybridMultilevel"/>
    <w:tmpl w:val="C27C96B2"/>
    <w:lvl w:ilvl="0" w:tplc="8DA0979C">
      <w:start w:val="1"/>
      <w:numFmt w:val="decimal"/>
      <w:lvlText w:val="%1)"/>
      <w:lvlJc w:val="left"/>
      <w:pPr>
        <w:ind w:left="60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47C"/>
    <w:rsid w:val="00000457"/>
    <w:rsid w:val="00097A32"/>
    <w:rsid w:val="00114614"/>
    <w:rsid w:val="00123FC8"/>
    <w:rsid w:val="00144958"/>
    <w:rsid w:val="00147618"/>
    <w:rsid w:val="001E2655"/>
    <w:rsid w:val="002022DC"/>
    <w:rsid w:val="00215B33"/>
    <w:rsid w:val="00245B56"/>
    <w:rsid w:val="00292DB7"/>
    <w:rsid w:val="002A309A"/>
    <w:rsid w:val="0037239B"/>
    <w:rsid w:val="00374858"/>
    <w:rsid w:val="003D5D19"/>
    <w:rsid w:val="004055C3"/>
    <w:rsid w:val="00407F8A"/>
    <w:rsid w:val="004A0115"/>
    <w:rsid w:val="004E69FE"/>
    <w:rsid w:val="004F0C1D"/>
    <w:rsid w:val="005E547C"/>
    <w:rsid w:val="005E6DE1"/>
    <w:rsid w:val="006423A4"/>
    <w:rsid w:val="006A61AA"/>
    <w:rsid w:val="006C268A"/>
    <w:rsid w:val="0070608E"/>
    <w:rsid w:val="00757CD9"/>
    <w:rsid w:val="00760293"/>
    <w:rsid w:val="007A6202"/>
    <w:rsid w:val="007D6DFF"/>
    <w:rsid w:val="007E5E98"/>
    <w:rsid w:val="00816540"/>
    <w:rsid w:val="008211FD"/>
    <w:rsid w:val="008266C4"/>
    <w:rsid w:val="00832F9B"/>
    <w:rsid w:val="00842DB8"/>
    <w:rsid w:val="008A4AA1"/>
    <w:rsid w:val="00967172"/>
    <w:rsid w:val="009C7EE6"/>
    <w:rsid w:val="00A20461"/>
    <w:rsid w:val="00A2466B"/>
    <w:rsid w:val="00A95F78"/>
    <w:rsid w:val="00AB4DC6"/>
    <w:rsid w:val="00AE463E"/>
    <w:rsid w:val="00AE4975"/>
    <w:rsid w:val="00B0027C"/>
    <w:rsid w:val="00BB277E"/>
    <w:rsid w:val="00BC293D"/>
    <w:rsid w:val="00BE546B"/>
    <w:rsid w:val="00C92071"/>
    <w:rsid w:val="00D07756"/>
    <w:rsid w:val="00D53B61"/>
    <w:rsid w:val="00D87768"/>
    <w:rsid w:val="00DA563E"/>
    <w:rsid w:val="00DD4FB0"/>
    <w:rsid w:val="00E4718D"/>
    <w:rsid w:val="00E6748A"/>
    <w:rsid w:val="00EA7FB7"/>
    <w:rsid w:val="00EE46EE"/>
    <w:rsid w:val="00F2255D"/>
    <w:rsid w:val="00F40476"/>
    <w:rsid w:val="00FF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5E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5E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E547C"/>
    <w:rPr>
      <w:b/>
      <w:bCs/>
    </w:rPr>
  </w:style>
  <w:style w:type="character" w:styleId="a4">
    <w:name w:val="Hyperlink"/>
    <w:basedOn w:val="a0"/>
    <w:uiPriority w:val="99"/>
    <w:semiHidden/>
    <w:unhideWhenUsed/>
    <w:rsid w:val="005E547C"/>
    <w:rPr>
      <w:color w:val="0000FF"/>
      <w:u w:val="single"/>
    </w:rPr>
  </w:style>
  <w:style w:type="character" w:styleId="a5">
    <w:name w:val="Emphasis"/>
    <w:basedOn w:val="a0"/>
    <w:uiPriority w:val="20"/>
    <w:qFormat/>
    <w:rsid w:val="005E547C"/>
    <w:rPr>
      <w:i/>
      <w:iCs/>
    </w:rPr>
  </w:style>
  <w:style w:type="paragraph" w:styleId="a6">
    <w:name w:val="Normal (Web)"/>
    <w:basedOn w:val="a"/>
    <w:uiPriority w:val="99"/>
    <w:unhideWhenUsed/>
    <w:rsid w:val="005E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E463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A2046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List Paragraph"/>
    <w:basedOn w:val="a"/>
    <w:uiPriority w:val="34"/>
    <w:qFormat/>
    <w:rsid w:val="0012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Жанар Жуманазарова</cp:lastModifiedBy>
  <cp:revision>44</cp:revision>
  <cp:lastPrinted>2021-05-03T09:25:00Z</cp:lastPrinted>
  <dcterms:created xsi:type="dcterms:W3CDTF">2018-03-12T05:04:00Z</dcterms:created>
  <dcterms:modified xsi:type="dcterms:W3CDTF">2021-05-04T05:45:00Z</dcterms:modified>
</cp:coreProperties>
</file>